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BE8" w:rsidRDefault="00F64BE8" w:rsidP="00F64BE8">
      <w:pPr>
        <w:jc w:val="right"/>
        <w:rPr>
          <w:rFonts w:ascii="Arial Narrow" w:hAnsi="Arial Narrow" w:cs="Arial"/>
          <w:b/>
          <w:shadow/>
          <w:sz w:val="72"/>
          <w:szCs w:val="72"/>
        </w:rPr>
      </w:pPr>
      <w:r>
        <w:rPr>
          <w:rFonts w:ascii="Arial Narrow" w:hAnsi="Arial Narrow" w:cs="Arial"/>
          <w:b/>
          <w:shadow/>
          <w:sz w:val="72"/>
          <w:szCs w:val="72"/>
        </w:rPr>
        <w:t>ВЕСТНИК   ДНЕПРОВСКОГО СЕЛЬСОВЕТА</w:t>
      </w:r>
    </w:p>
    <w:p w:rsidR="00F64BE8" w:rsidRDefault="00FF5501" w:rsidP="00F64BE8">
      <w:pPr>
        <w:jc w:val="right"/>
        <w:rPr>
          <w:rFonts w:ascii="Arial Narrow" w:hAnsi="Arial Narrow" w:cs="Arial"/>
          <w:b/>
          <w:shadow/>
          <w:sz w:val="44"/>
          <w:szCs w:val="44"/>
        </w:rPr>
      </w:pPr>
      <w:r>
        <w:rPr>
          <w:rFonts w:ascii="Arial Narrow" w:hAnsi="Arial Narrow" w:cs="Arial"/>
          <w:b/>
          <w:shadow/>
          <w:sz w:val="44"/>
          <w:szCs w:val="44"/>
        </w:rPr>
        <w:t xml:space="preserve">    № 152                   18 августа 2021</w:t>
      </w:r>
      <w:r w:rsidR="00F64BE8">
        <w:rPr>
          <w:rFonts w:ascii="Arial Narrow" w:hAnsi="Arial Narrow" w:cs="Arial"/>
          <w:b/>
          <w:shadow/>
          <w:sz w:val="44"/>
          <w:szCs w:val="44"/>
        </w:rPr>
        <w:t xml:space="preserve"> года</w:t>
      </w:r>
    </w:p>
    <w:p w:rsidR="00F64BE8" w:rsidRDefault="00F64BE8" w:rsidP="00F64BE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>Газета муниципального образования Днепровский сельсовет</w:t>
      </w:r>
    </w:p>
    <w:p w:rsidR="00F64BE8" w:rsidRDefault="00F64BE8" w:rsidP="00F64BE8">
      <w:pPr>
        <w:pBdr>
          <w:top w:val="single" w:sz="12" w:space="1" w:color="auto"/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 </w:t>
      </w:r>
      <w:proofErr w:type="spellStart"/>
      <w:r>
        <w:rPr>
          <w:rFonts w:ascii="Arial Narrow" w:hAnsi="Arial Narrow" w:cs="Arial"/>
          <w:b/>
          <w:shadow/>
        </w:rPr>
        <w:t>Беляевского</w:t>
      </w:r>
      <w:proofErr w:type="spellEnd"/>
      <w:r>
        <w:rPr>
          <w:rFonts w:ascii="Arial Narrow" w:hAnsi="Arial Narrow" w:cs="Arial"/>
          <w:b/>
          <w:shadow/>
        </w:rPr>
        <w:t xml:space="preserve"> района Оренбургской области</w:t>
      </w:r>
    </w:p>
    <w:p w:rsidR="00F64BE8" w:rsidRDefault="00F64BE8" w:rsidP="00F64BE8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ИНФОРМАЦИЯ   ПРОКУРАТУРЫ </w:t>
      </w:r>
    </w:p>
    <w:p w:rsidR="00F64BE8" w:rsidRDefault="00F64BE8" w:rsidP="00F64BE8">
      <w:pPr>
        <w:pBdr>
          <w:bottom w:val="single" w:sz="12" w:space="1" w:color="auto"/>
        </w:pBdr>
        <w:jc w:val="center"/>
        <w:rPr>
          <w:rFonts w:ascii="Arial Narrow" w:hAnsi="Arial Narrow" w:cs="Arial"/>
          <w:b/>
          <w:shadow/>
        </w:rPr>
      </w:pPr>
      <w:r>
        <w:rPr>
          <w:rFonts w:ascii="Arial Narrow" w:hAnsi="Arial Narrow" w:cs="Arial"/>
          <w:b/>
          <w:shadow/>
        </w:rPr>
        <w:t xml:space="preserve">БЕЛЯЕВСКОГО РАЙОНА ОРЕНБУРГСКОЙ ОБЛАСТИ </w:t>
      </w:r>
    </w:p>
    <w:p w:rsidR="00F64BE8" w:rsidRDefault="00F64BE8" w:rsidP="00F64BE8">
      <w:pPr>
        <w:ind w:firstLine="708"/>
        <w:jc w:val="center"/>
        <w:rPr>
          <w:b/>
          <w:u w:val="single"/>
        </w:rPr>
      </w:pPr>
    </w:p>
    <w:p w:rsidR="00FF5501" w:rsidRPr="00FF5501" w:rsidRDefault="00FF5501" w:rsidP="00FF5501">
      <w:pPr>
        <w:jc w:val="center"/>
        <w:rPr>
          <w:b/>
          <w:u w:val="single"/>
        </w:rPr>
      </w:pPr>
      <w:r w:rsidRPr="00FF5501">
        <w:rPr>
          <w:b/>
          <w:u w:val="single"/>
        </w:rPr>
        <w:t>Профилактика рисков причинения вреда (ущерба) охраняемым законом ценностям в Федеральном законе «О государственном контроле (надзоре) и муниципальном контроле в Российской Федерации»</w:t>
      </w:r>
    </w:p>
    <w:p w:rsidR="00FF5501" w:rsidRPr="00C6542B" w:rsidRDefault="00FF5501" w:rsidP="00FF5501">
      <w:pPr>
        <w:jc w:val="both"/>
      </w:pPr>
    </w:p>
    <w:p w:rsidR="00FF5501" w:rsidRPr="00C6542B" w:rsidRDefault="00FF5501" w:rsidP="00FF5501">
      <w:pPr>
        <w:ind w:firstLine="720"/>
        <w:jc w:val="both"/>
      </w:pPr>
      <w:r w:rsidRPr="00C6542B">
        <w:t>С 01 июля 2021 года вступил в силу Федеральный закон от 31.07.2020 № 248-ФЗ «О государственном контроле (надзоре) и муниципальном контроле в Российской Федерации» (далее – Закон № 248-ФЗ), за исключением положений, для которых установлены иные сроки вступления в силу.</w:t>
      </w:r>
    </w:p>
    <w:p w:rsidR="00FF5501" w:rsidRPr="00C6542B" w:rsidRDefault="00FF5501" w:rsidP="00FF5501">
      <w:pPr>
        <w:ind w:firstLine="720"/>
        <w:jc w:val="both"/>
      </w:pPr>
      <w:r w:rsidRPr="00C6542B">
        <w:t>Вся контрольно-надзорная деятельность с указанной даты должна строиться в рамках нового правового регулирования.</w:t>
      </w:r>
    </w:p>
    <w:p w:rsidR="00FF5501" w:rsidRPr="00C6542B" w:rsidRDefault="00FF5501" w:rsidP="00FF5501">
      <w:pPr>
        <w:ind w:firstLine="720"/>
        <w:jc w:val="both"/>
      </w:pPr>
      <w:proofErr w:type="gramStart"/>
      <w:r w:rsidRPr="00C6542B">
        <w:t>Вместе с тем, в силу ч. 8 ст. 98 Закона № 248-ФЗ организация, проведение и оформление результатов проверок, иных мероприятий государственного контроля (надзора), муниципального контроля, не завершенных на день вступления в силу настоящего Федерального закона, осуществляются в соответствии с положениями нормативных правовых актов, действовавших на дату начала этих проверок, иных мероприятий государственного контроля (надзора), муниципального контроля.</w:t>
      </w:r>
      <w:proofErr w:type="gramEnd"/>
    </w:p>
    <w:p w:rsidR="00FF5501" w:rsidRPr="00C6542B" w:rsidRDefault="00FF5501" w:rsidP="00FF5501">
      <w:pPr>
        <w:ind w:firstLine="720"/>
        <w:jc w:val="both"/>
      </w:pPr>
      <w:r w:rsidRPr="00C6542B">
        <w:t>Особенностью нового закона стало смещение акцента с проверок предпринимателей на профилактику рисков причинения вреда (ущерба) охраняемым законом ценностям.</w:t>
      </w:r>
    </w:p>
    <w:p w:rsidR="00FF5501" w:rsidRPr="00C6542B" w:rsidRDefault="00FF5501" w:rsidP="00FF5501">
      <w:pPr>
        <w:ind w:firstLine="720"/>
        <w:jc w:val="both"/>
      </w:pPr>
      <w:r w:rsidRPr="00C6542B">
        <w:t xml:space="preserve">В связи с принятием Закона № 248-ФЗ работа по профилактике </w:t>
      </w:r>
      <w:proofErr w:type="gramStart"/>
      <w:r w:rsidRPr="00C6542B">
        <w:t>будет</w:t>
      </w:r>
      <w:proofErr w:type="gramEnd"/>
      <w:r w:rsidRPr="00C6542B">
        <w:t xml:space="preserve"> заключается в предупреждении возникновения указанных рисков, в связи с чем контрольно-надзорные органы будут обязаны воздействовать на них за счет целенаправленной работы по повышению правовой грамотности подконтрольных субъектов.</w:t>
      </w:r>
    </w:p>
    <w:p w:rsidR="00FF5501" w:rsidRPr="00C6542B" w:rsidRDefault="00FF5501" w:rsidP="00FF5501">
      <w:pPr>
        <w:ind w:firstLine="720"/>
        <w:jc w:val="both"/>
      </w:pPr>
      <w:r w:rsidRPr="00C6542B">
        <w:t xml:space="preserve">В целях реализации в качестве приоритетного </w:t>
      </w:r>
      <w:proofErr w:type="gramStart"/>
      <w:r w:rsidRPr="00C6542B">
        <w:t>направления профилактики риска причинения вреда</w:t>
      </w:r>
      <w:proofErr w:type="gramEnd"/>
      <w:r w:rsidRPr="00C6542B">
        <w:t xml:space="preserve"> Законом № 248-ФЗ предусмотрено 7 новых видов профилактических мероприятий и система управления рисками причинения вреда.</w:t>
      </w:r>
    </w:p>
    <w:p w:rsidR="00FF5501" w:rsidRPr="00C6542B" w:rsidRDefault="00FF5501" w:rsidP="00FF5501">
      <w:pPr>
        <w:ind w:firstLine="720"/>
        <w:jc w:val="both"/>
      </w:pPr>
      <w:r w:rsidRPr="00C6542B">
        <w:t>Выделяются следующие виды профилактических мероприятий:</w:t>
      </w:r>
    </w:p>
    <w:p w:rsidR="00FF5501" w:rsidRPr="00C6542B" w:rsidRDefault="00FF5501" w:rsidP="00FF5501">
      <w:pPr>
        <w:ind w:firstLine="720"/>
        <w:jc w:val="both"/>
      </w:pPr>
      <w:r w:rsidRPr="00C6542B">
        <w:t xml:space="preserve">1) Информирование </w:t>
      </w:r>
      <w:r>
        <w:t>–</w:t>
      </w:r>
      <w:r w:rsidRPr="00C6542B">
        <w:t xml:space="preserve"> осуществляется</w:t>
      </w:r>
      <w:r>
        <w:t xml:space="preserve"> </w:t>
      </w:r>
      <w:r w:rsidRPr="00C6542B">
        <w:t>посредством размещения соответствующих сведений на официальном сайте контрольного (надзорного) органа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</w:r>
    </w:p>
    <w:p w:rsidR="00FF5501" w:rsidRPr="00C6542B" w:rsidRDefault="00FF5501" w:rsidP="00FF5501">
      <w:pPr>
        <w:ind w:firstLine="720"/>
        <w:jc w:val="both"/>
      </w:pPr>
      <w:r w:rsidRPr="00C6542B">
        <w:lastRenderedPageBreak/>
        <w:t>2) Обобщение правоприменительной практики в целях обеспечения единообразных подходов к применению контрольным (надзорным) органом и его должностными лицами обязательных требований, законодательства Российской Федерации о государственном контроле (надзоре), муниципальном контроле и выявления типичных нарушений обязательных требований, причин, факторов и условий, способствующих возникновению указанных нарушений.</w:t>
      </w:r>
    </w:p>
    <w:p w:rsidR="00FF5501" w:rsidRPr="00C6542B" w:rsidRDefault="00FF5501" w:rsidP="00FF5501">
      <w:pPr>
        <w:ind w:firstLine="720"/>
        <w:jc w:val="both"/>
      </w:pPr>
      <w:proofErr w:type="gramStart"/>
      <w:r w:rsidRPr="00C6542B">
        <w:t xml:space="preserve">По итогам обобщения правоприменительной практики контрольный (надзорный) орган обеспечивает подготовку доклада, содержащего результаты обобщения правоприменительной практики контрольного (надзорного) органа (доклад о правоприменительной практике), который утверждается приказом (распоряжением) руководителя контрольного (надзорного) органа и размещается на официальном сайте контрольного (надзорного) органа в сети «Интернет» в сроки, указанные в положении о виде контроля. </w:t>
      </w:r>
      <w:proofErr w:type="gramEnd"/>
    </w:p>
    <w:p w:rsidR="00FF5501" w:rsidRPr="00C6542B" w:rsidRDefault="00FF5501" w:rsidP="00FF5501">
      <w:pPr>
        <w:ind w:firstLine="720"/>
        <w:jc w:val="both"/>
      </w:pPr>
      <w:r w:rsidRPr="00C6542B">
        <w:t>3) Меры стимулирования добросовестности - нематериальное поощрение тех, кто добросовестно соблюдает обязательные требования. Порядок оценки добросовестности, в том числе виды мер стимулирования добросовестности, устанавливается положением о виде контроля. Информация о применяемых контрольным (надзорным) органом мерах стимулирования добросовестности контролируемых лиц, порядок и условия применения соответствующих мер, в том числе методики и критерии оценки добросовестности контролируемых лиц, размещаются на официальном сайте контрольного (надзорного) органа в сети «Интернет».</w:t>
      </w:r>
    </w:p>
    <w:p w:rsidR="00FF5501" w:rsidRPr="00C6542B" w:rsidRDefault="00FF5501" w:rsidP="00FF5501">
      <w:pPr>
        <w:ind w:firstLine="720"/>
        <w:jc w:val="both"/>
      </w:pPr>
      <w:r w:rsidRPr="00C6542B">
        <w:t>4) Объявление предостережения - при наличии у контрольного (надзорного) органа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контрольный (</w:t>
      </w:r>
      <w:proofErr w:type="gramStart"/>
      <w:r w:rsidRPr="00C6542B">
        <w:t xml:space="preserve">надзорный) </w:t>
      </w:r>
      <w:proofErr w:type="gramEnd"/>
      <w:r w:rsidRPr="00C6542B">
        <w:t>орган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требований.</w:t>
      </w:r>
    </w:p>
    <w:p w:rsidR="00FF5501" w:rsidRPr="00C6542B" w:rsidRDefault="00FF5501" w:rsidP="00FF5501">
      <w:pPr>
        <w:ind w:firstLine="720"/>
        <w:jc w:val="both"/>
      </w:pPr>
      <w:proofErr w:type="gramStart"/>
      <w:r w:rsidRPr="00C6542B">
        <w:t>5) Консультирование - должностное лицо контрольного (надзорного) органа по обращениям контролируемых лиц и их представителей дает разъяснения по вопросам, связанным с организацией и осуществлением государственного контроля (надзора), муниципального контроля) без взимания платы.</w:t>
      </w:r>
      <w:proofErr w:type="gramEnd"/>
    </w:p>
    <w:p w:rsidR="00FF5501" w:rsidRPr="00C6542B" w:rsidRDefault="00FF5501" w:rsidP="00FF5501">
      <w:pPr>
        <w:ind w:firstLine="720"/>
        <w:jc w:val="both"/>
      </w:pPr>
      <w:r w:rsidRPr="00C6542B">
        <w:t>Форма предоставления консультации (письменно или устно) определяется должностным лицом, представляющим такую консультацию, самостоятельно, в том числе может осуществляться по телефону, посредством видеоконференц-связи,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FF5501" w:rsidRPr="00C6542B" w:rsidRDefault="00FF5501" w:rsidP="00FF5501">
      <w:pPr>
        <w:ind w:firstLine="720"/>
        <w:jc w:val="both"/>
      </w:pPr>
      <w:r w:rsidRPr="00C6542B">
        <w:t xml:space="preserve">6) </w:t>
      </w:r>
      <w:proofErr w:type="spellStart"/>
      <w:r w:rsidRPr="00C6542B">
        <w:t>Самообследование</w:t>
      </w:r>
      <w:proofErr w:type="spellEnd"/>
      <w:r w:rsidRPr="00C6542B">
        <w:t xml:space="preserve"> - самостоятельная автоматизированная оценка соблюдения обязательных требований. Если по итогам </w:t>
      </w:r>
      <w:proofErr w:type="spellStart"/>
      <w:r w:rsidRPr="00C6542B">
        <w:t>самообследования</w:t>
      </w:r>
      <w:proofErr w:type="spellEnd"/>
      <w:r w:rsidRPr="00C6542B">
        <w:t xml:space="preserve"> юридическое лицо или индивидуальный предприниматель получит высокую оценку, то получит право принять декларацию их соблюдения.</w:t>
      </w:r>
    </w:p>
    <w:p w:rsidR="00FF5501" w:rsidRPr="00C6542B" w:rsidRDefault="00FF5501" w:rsidP="00FF5501">
      <w:pPr>
        <w:ind w:firstLine="720"/>
        <w:jc w:val="both"/>
      </w:pPr>
      <w:r w:rsidRPr="00C6542B">
        <w:t xml:space="preserve">Декларация соблюдения обязательных требований направляется контролируемым лицом в контрольный (надзорный) орган, который осуществляет ее регистрацию и размещает на своем официальном сайте в сети «Интернет». Контролируемое лицо имеет право </w:t>
      </w:r>
      <w:proofErr w:type="gramStart"/>
      <w:r w:rsidRPr="00C6542B">
        <w:t>разместить сведения</w:t>
      </w:r>
      <w:proofErr w:type="gramEnd"/>
      <w:r w:rsidRPr="00C6542B">
        <w:t xml:space="preserve"> о зарегистрированной декларации соблюдения обязательных требований на своем сайте в сети «Интернет», в принадлежащих ему помещениях, а также использовать такие сведения в рекламной продукции.</w:t>
      </w:r>
    </w:p>
    <w:p w:rsidR="00FF5501" w:rsidRPr="00C6542B" w:rsidRDefault="00FF5501" w:rsidP="00FF5501">
      <w:pPr>
        <w:ind w:firstLine="720"/>
        <w:jc w:val="both"/>
      </w:pPr>
      <w:r w:rsidRPr="00C6542B">
        <w:t>Срок действия декларации соблюдения обязательных требований не менее одного года и не более трех лет с момента регистрации указанной декларации контрольным (надзорным) органом.</w:t>
      </w:r>
    </w:p>
    <w:p w:rsidR="00FF5501" w:rsidRPr="00C6542B" w:rsidRDefault="00FF5501" w:rsidP="00FF5501">
      <w:pPr>
        <w:ind w:firstLine="720"/>
        <w:jc w:val="both"/>
      </w:pPr>
      <w:r w:rsidRPr="00C6542B">
        <w:t>В случае</w:t>
      </w:r>
      <w:proofErr w:type="gramStart"/>
      <w:r w:rsidRPr="00C6542B">
        <w:t>,</w:t>
      </w:r>
      <w:proofErr w:type="gramEnd"/>
      <w:r w:rsidRPr="00C6542B">
        <w:t xml:space="preserve"> если при проведении внепланового контрольного (надзорного) мероприятия выявлены нарушения обязательных требований, факты представления контролируемым лицом недостоверных сведений при </w:t>
      </w:r>
      <w:proofErr w:type="spellStart"/>
      <w:r w:rsidRPr="00C6542B">
        <w:t>самообследовании</w:t>
      </w:r>
      <w:proofErr w:type="spellEnd"/>
      <w:r w:rsidRPr="00C6542B">
        <w:t>, декларация соблюдения обязательных требований аннулируется решением, принимаемым по результатам контрольного (надзорного) мероприятия.</w:t>
      </w:r>
    </w:p>
    <w:p w:rsidR="00FF5501" w:rsidRPr="00C6542B" w:rsidRDefault="00FF5501" w:rsidP="00FF5501">
      <w:pPr>
        <w:ind w:firstLine="720"/>
        <w:jc w:val="both"/>
      </w:pPr>
      <w:r w:rsidRPr="00C6542B">
        <w:t xml:space="preserve">7) Профилактический визит - проводится инспектором в форме профилактической беседы по месту осуществления деятельности контролируемого лица либо путем использования </w:t>
      </w:r>
      <w:proofErr w:type="spellStart"/>
      <w:r w:rsidRPr="00C6542B">
        <w:t>видео-конференц-связи</w:t>
      </w:r>
      <w:proofErr w:type="spellEnd"/>
      <w:r w:rsidRPr="00C6542B">
        <w:t>.</w:t>
      </w:r>
    </w:p>
    <w:p w:rsidR="00FF5501" w:rsidRPr="00C6542B" w:rsidRDefault="00FF5501" w:rsidP="00FF5501">
      <w:pPr>
        <w:ind w:firstLine="720"/>
        <w:jc w:val="both"/>
      </w:pPr>
      <w:r w:rsidRPr="00C6542B">
        <w:t>Проведение обязательных профилактических визитов должно быть предусмотрено в отношении контролируемых лиц, приступающих к осуществлению деятельности в определенной сфере, а также в отношении объектов контроля, отнесенных к категориям чрезвычайно высокого, высокого и значительного риска.</w:t>
      </w:r>
    </w:p>
    <w:p w:rsidR="00FF5501" w:rsidRPr="00C6542B" w:rsidRDefault="00FF5501" w:rsidP="00FF5501">
      <w:pPr>
        <w:ind w:firstLine="720"/>
        <w:jc w:val="both"/>
      </w:pPr>
      <w:r w:rsidRPr="00C6542B">
        <w:t xml:space="preserve">О проведении обязательного профилактического визита контролируемое лицо должно быть уведомлено не </w:t>
      </w:r>
      <w:proofErr w:type="gramStart"/>
      <w:r w:rsidRPr="00C6542B">
        <w:t>позднее</w:t>
      </w:r>
      <w:proofErr w:type="gramEnd"/>
      <w:r w:rsidRPr="00C6542B">
        <w:t xml:space="preserve"> чем за пять рабочих дней до даты его проведения. Контролируемое лицо вправе отказаться от проведения обязательного профилактического визита, уведомив об этом контрольный (надзорный) орган не </w:t>
      </w:r>
      <w:proofErr w:type="gramStart"/>
      <w:r w:rsidRPr="00C6542B">
        <w:t>позднее</w:t>
      </w:r>
      <w:proofErr w:type="gramEnd"/>
      <w:r w:rsidRPr="00C6542B">
        <w:t xml:space="preserve"> чем за три рабочих дня до даты его проведения.</w:t>
      </w:r>
    </w:p>
    <w:p w:rsidR="00FF5501" w:rsidRPr="00C6542B" w:rsidRDefault="00FF5501" w:rsidP="00FF5501">
      <w:pPr>
        <w:ind w:firstLine="720"/>
        <w:jc w:val="both"/>
      </w:pPr>
      <w:r w:rsidRPr="00C6542B">
        <w:t xml:space="preserve">При проведении профилактического визита гражданам, организациям не могут выдаваться предписания об устранении нарушений обязательных требований. </w:t>
      </w:r>
    </w:p>
    <w:p w:rsidR="00FF5501" w:rsidRPr="00C6542B" w:rsidRDefault="00FF5501" w:rsidP="00FF5501">
      <w:pPr>
        <w:ind w:firstLine="720"/>
        <w:jc w:val="both"/>
      </w:pPr>
      <w:r w:rsidRPr="00C6542B">
        <w:t>Участие в профилактических мероприятиях является правом, а не обязанностью подконтрольного лица. При этом лично взаимодействовать с должностным лицом контрольного органа необходимо только в случаях, установленных Законом № 248-ФЗ, и лишь с согласия организации либо по ее инициативе.</w:t>
      </w:r>
    </w:p>
    <w:p w:rsidR="00FF5501" w:rsidRPr="00C6542B" w:rsidRDefault="00FF5501" w:rsidP="00FF5501">
      <w:pPr>
        <w:ind w:firstLine="720"/>
        <w:jc w:val="both"/>
      </w:pPr>
      <w:r w:rsidRPr="00C6542B">
        <w:t>В рамках нового закона предполагается снижение количества проверок не только за счет приоритета профилактики нарушений, но и благодаря введению более мягких (по сравнению с проверками) контрольно-надзорных мероприятий.</w:t>
      </w:r>
    </w:p>
    <w:p w:rsidR="00FF5501" w:rsidRPr="00C6542B" w:rsidRDefault="00FF5501" w:rsidP="00FF5501">
      <w:pPr>
        <w:ind w:firstLine="720"/>
        <w:jc w:val="both"/>
      </w:pPr>
      <w:r w:rsidRPr="00C6542B">
        <w:t>В соответствии с Законом № 248-ФЗ контрольные (надзорные) мероприятия разделены на две группы:</w:t>
      </w:r>
    </w:p>
    <w:p w:rsidR="00FF5501" w:rsidRPr="00C6542B" w:rsidRDefault="00FF5501" w:rsidP="00FF5501">
      <w:pPr>
        <w:ind w:firstLine="720"/>
        <w:jc w:val="both"/>
      </w:pPr>
      <w:proofErr w:type="gramStart"/>
      <w:r w:rsidRPr="00C6542B">
        <w:t>- мероприятия с взаимодействием контрольных (надзорных) органов, их должностных лиц с контролируемыми лицами, включая дистанционное взаимодействие: контрольная закупка, мониторинговая закупка, выборочный контроль, инспекционный визит, рейдовый осмотр, документарная проверка, выездная проверка.</w:t>
      </w:r>
      <w:proofErr w:type="gramEnd"/>
    </w:p>
    <w:p w:rsidR="00FF5501" w:rsidRPr="00C6542B" w:rsidRDefault="00FF5501" w:rsidP="00FF5501">
      <w:pPr>
        <w:ind w:firstLine="720"/>
        <w:jc w:val="both"/>
      </w:pPr>
      <w:r w:rsidRPr="00C6542B">
        <w:t>- мероприятия без взаимодействия с контролируемым лицом: наблюдение за соблюдением обязательных требований и выездное обследование</w:t>
      </w:r>
    </w:p>
    <w:p w:rsidR="00FF5501" w:rsidRPr="00C6542B" w:rsidRDefault="00FF5501" w:rsidP="00FF5501">
      <w:pPr>
        <w:ind w:firstLine="720"/>
        <w:jc w:val="both"/>
      </w:pPr>
      <w:proofErr w:type="gramStart"/>
      <w:r w:rsidRPr="00C6542B">
        <w:t>Взаимодействием контрольных (надзорных) органов, их должностных лиц с контролируемыми лицами при проведении этих мероприятий считаются встречи, телефонные и иные переговоры (непосредственное взаимодействие) между инспектором и контролируемым лицом или его представителем, запрос документов, иных материалов, присутствие инспектора в месте осуществления деятельности контролируемого лица (за исключением случаев присутствия инспектора на общедоступных производственных объектах).</w:t>
      </w:r>
      <w:proofErr w:type="gramEnd"/>
    </w:p>
    <w:p w:rsidR="00FF5501" w:rsidRPr="00C6542B" w:rsidRDefault="00FF5501" w:rsidP="00FF5501">
      <w:pPr>
        <w:ind w:firstLine="720"/>
        <w:jc w:val="both"/>
      </w:pPr>
      <w:r w:rsidRPr="00C6542B">
        <w:t>В качестве новелл предусмотрены следующие виды мероприятий:</w:t>
      </w:r>
    </w:p>
    <w:p w:rsidR="00FF5501" w:rsidRPr="00C6542B" w:rsidRDefault="00FF5501" w:rsidP="00FF5501">
      <w:pPr>
        <w:ind w:firstLine="720"/>
        <w:jc w:val="both"/>
      </w:pPr>
      <w:r w:rsidRPr="00C6542B">
        <w:t>- мониторинговая закупка – в отличие от уже существующей контрольной закупки, она будет проводиться для последующего направления товаров, результатов работ и услуг, например, на экспертизу. В остальном эти мероприятия похожи;</w:t>
      </w:r>
    </w:p>
    <w:p w:rsidR="00FF5501" w:rsidRPr="00C6542B" w:rsidRDefault="00FF5501" w:rsidP="00FF5501">
      <w:pPr>
        <w:ind w:firstLine="720"/>
        <w:jc w:val="both"/>
      </w:pPr>
      <w:r w:rsidRPr="00C6542B">
        <w:t>- выборочный контроль - отбор проб образцов продукции, чтобы подтвердить их соответствие обязательным требованиям по безопасности, качеству;</w:t>
      </w:r>
    </w:p>
    <w:p w:rsidR="00FF5501" w:rsidRPr="00C6542B" w:rsidRDefault="00FF5501" w:rsidP="00FF5501">
      <w:pPr>
        <w:ind w:firstLine="720"/>
        <w:jc w:val="both"/>
      </w:pPr>
      <w:r w:rsidRPr="00C6542B">
        <w:t>- инспекционный визит, в ходе которого предприниматель обязан обеспечить беспрепятственный доступ инспектора в здания, сооружения, помещения. О проведении данного мероприятия предварительно не уведомляют.</w:t>
      </w:r>
    </w:p>
    <w:p w:rsidR="00FF5501" w:rsidRPr="00C6542B" w:rsidRDefault="00FF5501" w:rsidP="00FF5501">
      <w:pPr>
        <w:ind w:firstLine="720"/>
        <w:jc w:val="both"/>
      </w:pPr>
      <w:r w:rsidRPr="00C6542B">
        <w:t>- выездное обследование - визуальная оценка соблюдения обязательных требований без взаимодействия с проверяемым лицом (например, осмотр общедоступных производственных объектов).</w:t>
      </w:r>
    </w:p>
    <w:p w:rsidR="00FF5501" w:rsidRPr="00C6542B" w:rsidRDefault="00FF5501" w:rsidP="00FF5501">
      <w:pPr>
        <w:ind w:firstLine="720"/>
        <w:jc w:val="both"/>
      </w:pPr>
      <w:r w:rsidRPr="00C6542B">
        <w:t>Новым законом предусмотрена возможность проводить инспекционный визит и выездную проверку дистанционно, в том числе посредством аудио- или видеосвязи.</w:t>
      </w:r>
    </w:p>
    <w:p w:rsidR="00FF5501" w:rsidRPr="00C6542B" w:rsidRDefault="00FF5501" w:rsidP="00FF5501">
      <w:pPr>
        <w:ind w:firstLine="720"/>
        <w:jc w:val="both"/>
      </w:pPr>
      <w:r w:rsidRPr="00C6542B">
        <w:t>Срок проведения проверки сокращен до 10 рабочих дней.</w:t>
      </w:r>
    </w:p>
    <w:p w:rsidR="00FF5501" w:rsidRPr="00C6542B" w:rsidRDefault="00FF5501" w:rsidP="00FF5501">
      <w:pPr>
        <w:ind w:firstLine="720"/>
        <w:jc w:val="both"/>
      </w:pPr>
      <w:r w:rsidRPr="00C6542B">
        <w:t>Новым законом предусмотрена возможность отмены решений, принятых по результатам любого контрольно-надзорного мероприятия, которое провели с грубыми нарушениями.</w:t>
      </w:r>
    </w:p>
    <w:p w:rsidR="00FF5501" w:rsidRPr="00C6542B" w:rsidRDefault="00FF5501" w:rsidP="00FF5501">
      <w:pPr>
        <w:ind w:firstLine="720"/>
        <w:jc w:val="both"/>
      </w:pPr>
      <w:r w:rsidRPr="00C6542B">
        <w:t>Важным нововведением станет невозможность проведения контрольного (надзорного) мероприятия, которое не включено в Единый реестр контрольных (надзорных) мероприятий. Нарушение этого правила будет считаться грубым нарушением требований к организации и осуществлению государственного контроля (надзора), муниципального контроля, которое послужит основанием для отмены соответствующего решения, принятого по результатам такого контрольного (надзорного) мероприятия.</w:t>
      </w:r>
    </w:p>
    <w:p w:rsidR="00FF5501" w:rsidRPr="00C6542B" w:rsidRDefault="00FF5501" w:rsidP="00FF5501">
      <w:pPr>
        <w:ind w:firstLine="720"/>
        <w:jc w:val="both"/>
      </w:pPr>
      <w:proofErr w:type="gramStart"/>
      <w:r w:rsidRPr="00C6542B">
        <w:t>В качестве последствия признания недействительными результатов контрольного (надзорного) мероприятия, проведенного с грубым нарушением требований к организации и осуществлению государственного контроля (надзора), муниципального контроля, Законом № 248-ФЗ установлено требование об обязательном согласовании с органами прокуратуры проведения повторного внепланового контрольного (надзорного) мероприятия в отношении данного контролируемого лица вне зависимости от вида контрольного (надзорного) мероприятия и основания для его проведения (ч. 3 ст. 91).</w:t>
      </w:r>
      <w:proofErr w:type="gramEnd"/>
    </w:p>
    <w:p w:rsidR="00FF5501" w:rsidRDefault="00FF5501" w:rsidP="00FF5501">
      <w:pPr>
        <w:jc w:val="both"/>
      </w:pPr>
    </w:p>
    <w:p w:rsidR="00FF5501" w:rsidRDefault="00FF5501" w:rsidP="00FF5501">
      <w:pPr>
        <w:jc w:val="both"/>
      </w:pPr>
    </w:p>
    <w:p w:rsidR="00FF5501" w:rsidRDefault="00FF5501" w:rsidP="00FF5501">
      <w:pPr>
        <w:jc w:val="both"/>
      </w:pPr>
      <w:r>
        <w:t xml:space="preserve">Старший </w:t>
      </w:r>
      <w:r w:rsidRPr="00BB74B5">
        <w:t xml:space="preserve">помощник прокурора </w:t>
      </w:r>
    </w:p>
    <w:p w:rsidR="00FF5501" w:rsidRPr="004A5C11" w:rsidRDefault="00FF5501" w:rsidP="00FF5501">
      <w:pPr>
        <w:jc w:val="both"/>
      </w:pPr>
      <w:proofErr w:type="spellStart"/>
      <w:r w:rsidRPr="00BB74B5">
        <w:t>Беляевского</w:t>
      </w:r>
      <w:proofErr w:type="spellEnd"/>
      <w:r w:rsidRPr="00BB74B5">
        <w:t xml:space="preserve"> района                                                          </w:t>
      </w:r>
      <w:r>
        <w:t xml:space="preserve">                 </w:t>
      </w:r>
      <w:r w:rsidRPr="00BB74B5">
        <w:t>А.А. Ткаченко</w:t>
      </w:r>
    </w:p>
    <w:p w:rsidR="00FF5501" w:rsidRDefault="00FF5501" w:rsidP="00F64BE8">
      <w:pPr>
        <w:pStyle w:val="1"/>
        <w:shd w:val="clear" w:color="auto" w:fill="FFFFFF"/>
        <w:spacing w:before="0" w:after="0" w:line="264" w:lineRule="atLeast"/>
        <w:jc w:val="center"/>
        <w:rPr>
          <w:b w:val="0"/>
          <w:bCs w:val="0"/>
          <w:spacing w:val="-14"/>
          <w:sz w:val="28"/>
          <w:szCs w:val="28"/>
        </w:rPr>
      </w:pPr>
    </w:p>
    <w:p w:rsidR="00FF5501" w:rsidRDefault="00FF5501" w:rsidP="00FF550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FF5501" w:rsidRPr="00DD337E" w:rsidTr="0098346B">
        <w:trPr>
          <w:trHeight w:val="2841"/>
        </w:trPr>
        <w:tc>
          <w:tcPr>
            <w:tcW w:w="3190" w:type="dxa"/>
          </w:tcPr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Газета утверждена решением Совета депутатов муниципального образования Днепровский сельсовет 27.03.2012года №59</w:t>
            </w:r>
          </w:p>
          <w:p w:rsidR="00FF5501" w:rsidRPr="00DD337E" w:rsidRDefault="00FF5501" w:rsidP="0098346B">
            <w:pPr>
              <w:jc w:val="center"/>
            </w:pPr>
          </w:p>
        </w:tc>
        <w:tc>
          <w:tcPr>
            <w:tcW w:w="3190" w:type="dxa"/>
          </w:tcPr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Адрес редакции/ издателя</w:t>
            </w:r>
          </w:p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 xml:space="preserve">461334 Оренбургская область, </w:t>
            </w:r>
            <w:proofErr w:type="spellStart"/>
            <w:r w:rsidRPr="00DD337E">
              <w:rPr>
                <w:rStyle w:val="FontStyle11"/>
                <w:rFonts w:eastAsia="Calibri"/>
              </w:rPr>
              <w:t>Беляевский</w:t>
            </w:r>
            <w:proofErr w:type="spellEnd"/>
            <w:r w:rsidRPr="00DD337E">
              <w:rPr>
                <w:rStyle w:val="FontStyle11"/>
                <w:rFonts w:eastAsia="Calibri"/>
              </w:rPr>
              <w:t xml:space="preserve"> район, село Днепровка, ул</w:t>
            </w:r>
            <w:proofErr w:type="gramStart"/>
            <w:r w:rsidRPr="00DD337E">
              <w:rPr>
                <w:rStyle w:val="FontStyle11"/>
                <w:rFonts w:eastAsia="Calibri"/>
              </w:rPr>
              <w:t>.Л</w:t>
            </w:r>
            <w:proofErr w:type="gramEnd"/>
            <w:r w:rsidRPr="00DD337E">
              <w:rPr>
                <w:rStyle w:val="FontStyle11"/>
                <w:rFonts w:eastAsia="Calibri"/>
              </w:rPr>
              <w:t>енинская д.6</w:t>
            </w:r>
          </w:p>
          <w:p w:rsidR="00FF5501" w:rsidRPr="00DD337E" w:rsidRDefault="00FF5501" w:rsidP="0098346B">
            <w:pPr>
              <w:jc w:val="center"/>
            </w:pPr>
            <w:r w:rsidRPr="00DD337E">
              <w:rPr>
                <w:rStyle w:val="FontStyle11"/>
                <w:rFonts w:eastAsia="Calibri"/>
              </w:rPr>
              <w:t>тел.8 (353 34) 64-1-24</w:t>
            </w:r>
          </w:p>
        </w:tc>
        <w:tc>
          <w:tcPr>
            <w:tcW w:w="3191" w:type="dxa"/>
          </w:tcPr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Главный редактор</w:t>
            </w:r>
          </w:p>
          <w:p w:rsidR="00FF5501" w:rsidRPr="00DD337E" w:rsidRDefault="00FF5501" w:rsidP="0098346B">
            <w:pPr>
              <w:pStyle w:val="Style3"/>
              <w:widowControl/>
              <w:spacing w:before="103" w:after="122"/>
              <w:ind w:firstLine="0"/>
              <w:jc w:val="center"/>
              <w:rPr>
                <w:rStyle w:val="FontStyle11"/>
                <w:rFonts w:eastAsia="Calibri"/>
              </w:rPr>
            </w:pPr>
            <w:r w:rsidRPr="00DD337E">
              <w:rPr>
                <w:rStyle w:val="FontStyle11"/>
                <w:rFonts w:eastAsia="Calibri"/>
              </w:rPr>
              <w:t>Глава сельсовета</w:t>
            </w:r>
          </w:p>
          <w:p w:rsidR="00FF5501" w:rsidRPr="00DD337E" w:rsidRDefault="00FF5501" w:rsidP="0098346B">
            <w:pPr>
              <w:jc w:val="center"/>
            </w:pPr>
            <w:r>
              <w:rPr>
                <w:rStyle w:val="FontStyle11"/>
                <w:rFonts w:eastAsia="Calibri"/>
              </w:rPr>
              <w:t>Е.В.Жукова</w:t>
            </w:r>
          </w:p>
        </w:tc>
      </w:tr>
    </w:tbl>
    <w:p w:rsidR="00F64BE8" w:rsidRPr="00FF5501" w:rsidRDefault="00F64BE8" w:rsidP="00FF5501"/>
    <w:sectPr w:rsidR="00F64BE8" w:rsidRPr="00FF5501" w:rsidSect="002A71C2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64BE8"/>
    <w:rsid w:val="00090907"/>
    <w:rsid w:val="000F4168"/>
    <w:rsid w:val="002A71C2"/>
    <w:rsid w:val="002C6DAA"/>
    <w:rsid w:val="007014A5"/>
    <w:rsid w:val="008033C8"/>
    <w:rsid w:val="00B46CA4"/>
    <w:rsid w:val="00CD40AD"/>
    <w:rsid w:val="00F64BE8"/>
    <w:rsid w:val="00FF5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BE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4BE8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4BE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iPriority w:val="99"/>
    <w:rsid w:val="00F64BE8"/>
    <w:pPr>
      <w:spacing w:before="100" w:beforeAutospacing="1" w:after="100" w:afterAutospacing="1"/>
    </w:pPr>
    <w:rPr>
      <w:rFonts w:eastAsia="Calibri"/>
      <w:sz w:val="24"/>
      <w:szCs w:val="24"/>
    </w:rPr>
  </w:style>
  <w:style w:type="character" w:styleId="a4">
    <w:name w:val="Emphasis"/>
    <w:basedOn w:val="a0"/>
    <w:uiPriority w:val="99"/>
    <w:qFormat/>
    <w:rsid w:val="00F64BE8"/>
    <w:rPr>
      <w:rFonts w:cs="Times New Roman"/>
      <w:i/>
      <w:iCs/>
    </w:rPr>
  </w:style>
  <w:style w:type="paragraph" w:customStyle="1" w:styleId="Style3">
    <w:name w:val="Style3"/>
    <w:basedOn w:val="a"/>
    <w:rsid w:val="002A71C2"/>
    <w:pPr>
      <w:widowControl w:val="0"/>
      <w:autoSpaceDE w:val="0"/>
      <w:autoSpaceDN w:val="0"/>
      <w:adjustRightInd w:val="0"/>
      <w:spacing w:line="320" w:lineRule="exact"/>
      <w:ind w:firstLine="694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2A71C2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1688</Words>
  <Characters>9628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ELENA</cp:lastModifiedBy>
  <cp:revision>7</cp:revision>
  <dcterms:created xsi:type="dcterms:W3CDTF">2020-01-28T07:34:00Z</dcterms:created>
  <dcterms:modified xsi:type="dcterms:W3CDTF">2021-08-18T05:16:00Z</dcterms:modified>
</cp:coreProperties>
</file>