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C1" w:rsidRPr="00DF10C1" w:rsidRDefault="00DF10C1" w:rsidP="00DF10C1">
      <w:pPr>
        <w:pStyle w:val="a3"/>
        <w:shd w:val="clear" w:color="auto" w:fill="FFFFFF"/>
        <w:spacing w:before="0" w:beforeAutospacing="0" w:after="0" w:afterAutospacing="0"/>
        <w:jc w:val="center"/>
        <w:textAlignment w:val="baseline"/>
        <w:rPr>
          <w:b/>
          <w:sz w:val="36"/>
          <w:szCs w:val="36"/>
        </w:rPr>
      </w:pPr>
      <w:r w:rsidRPr="00DF10C1">
        <w:rPr>
          <w:b/>
          <w:sz w:val="36"/>
          <w:szCs w:val="36"/>
        </w:rPr>
        <w:t>Рекомендации для населения при понижении температуры</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В связи с понижением температуры воздуха возрастает вероятность возникновения техногенных пожаров по причине нарушение правил эксплуатации электробытовых приборов, нарушения правил эксплуатации газового оборудования, использования самодельных нагревательных устройств, нарушение правил пожарной безопасности.</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В группе риска – дети и пожилые люди: они больше всего подвержены переохлаждению. У людей старшего возраста в результате некоторых болезней терморегуляция может быть нарушена, а у детей эта функция организма еще несовершенна.</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Чтобы избежать переохлаждения нужно одеваться многослойно – так легче сохранить тепло. Важно держать в тепле ноги – здесь помогут теплые стельки и шерстяные носки. Не стоит выходить на мороз без теплых варежек, головного убора и шарфа. Следует избегать контактов голой кожи с металлом. Стоит отказаться от металлических украшений – колец, серег. Кольца препятствуют нормальной циркуляции крови. Кроме того, металл быстро охлаждается и может "прилипнуть" к коже.</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Шансы переохладиться или получить обморожение, велики и у тех, кто переутомлен и испытывает слабость, либо находится в нетрезвом состоянии. Алкогольное опьянение дает иллюзию тепла, но на самом деле вызывает большую потерю тепла. В таком состоянии человек может просто не заметить признаков переохлаждения и обморожения.</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В случае переохлаждения или обморожения нужно немедленно обратиться за медицинской помощью.</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В холодное время года стоит помнить о правильном питании. Перед тем, как надолго отправляться на улицу, нужно как следует поесть. Энергия понадобится организму для борьбы с холодом.</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Спасатели подчеркивают: легче не попадать в неприятные ситуации вовсе, нежели потом бороться с их последствиями.</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Главное управление МЧС России по Оренбургской области предупреждает:</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недопустимо пользоваться неисправными электроприборами, а также приборами, провода которых имеют поврежденную изоляцию;</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нельзя использовать самодельные электронагревательные приборы и предохранители, они должны быть только заводского изготовления;</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при покупке и установке нового изделия (оборудования) важно, чтобы данное изделие было сертифицировано, а перед началом эксплуатации внимательно ознакомьтесь с инструкцией;</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запрещено устанавливать электроприборы вблизи от сгораемых предметов и материалов;</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нельзя оставлять без присмотра включенные в сеть электроприборы на длительное время;</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категорически запрещается подключать несколько приборов к одной розетке с помощью переходной вилки на 3-4 ответвления;</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t>- в случае обнаружения сильного нагрева электрической вилки или самого электроприбора, немедленно его обесточьте.</w:t>
      </w:r>
    </w:p>
    <w:p w:rsidR="00DF10C1" w:rsidRPr="00473B32" w:rsidRDefault="00DF10C1" w:rsidP="00DF10C1">
      <w:pPr>
        <w:pStyle w:val="a3"/>
        <w:shd w:val="clear" w:color="auto" w:fill="FFFFFF"/>
        <w:spacing w:before="0" w:beforeAutospacing="0" w:after="0" w:afterAutospacing="0"/>
        <w:ind w:firstLine="567"/>
        <w:jc w:val="both"/>
        <w:textAlignment w:val="baseline"/>
        <w:rPr>
          <w:sz w:val="26"/>
          <w:szCs w:val="26"/>
        </w:rPr>
      </w:pPr>
      <w:r w:rsidRPr="00473B32">
        <w:rPr>
          <w:sz w:val="26"/>
          <w:szCs w:val="26"/>
        </w:rPr>
        <w:lastRenderedPageBreak/>
        <w:t>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w:t>
      </w:r>
    </w:p>
    <w:p w:rsidR="00DF10C1" w:rsidRPr="00473B32" w:rsidRDefault="00DF10C1" w:rsidP="00DF10C1">
      <w:pPr>
        <w:pStyle w:val="a3"/>
        <w:shd w:val="clear" w:color="auto" w:fill="FFFFFF"/>
        <w:spacing w:before="0" w:beforeAutospacing="0" w:after="0" w:afterAutospacing="0"/>
        <w:ind w:firstLine="567"/>
        <w:jc w:val="both"/>
        <w:textAlignment w:val="baseline"/>
        <w:rPr>
          <w:b/>
          <w:sz w:val="26"/>
          <w:szCs w:val="26"/>
        </w:rPr>
      </w:pPr>
      <w:r w:rsidRPr="00473B32">
        <w:rPr>
          <w:b/>
          <w:sz w:val="26"/>
          <w:szCs w:val="26"/>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DF10C1" w:rsidRPr="00473B32" w:rsidRDefault="00DF10C1" w:rsidP="00DF10C1">
      <w:pPr>
        <w:pStyle w:val="a3"/>
        <w:shd w:val="clear" w:color="auto" w:fill="FFFFFF"/>
        <w:spacing w:before="0" w:beforeAutospacing="0" w:after="0" w:afterAutospacing="0"/>
        <w:ind w:firstLine="567"/>
        <w:jc w:val="both"/>
        <w:textAlignment w:val="baseline"/>
        <w:rPr>
          <w:b/>
          <w:sz w:val="26"/>
          <w:szCs w:val="26"/>
        </w:rPr>
      </w:pPr>
      <w:r w:rsidRPr="00473B32">
        <w:rPr>
          <w:b/>
          <w:sz w:val="26"/>
          <w:szCs w:val="26"/>
        </w:rPr>
        <w:t>Единый телефон доверия ГУ МЧС России по Оренбургской области (3532) 308-999.</w:t>
      </w:r>
    </w:p>
    <w:p w:rsidR="00DF10C1" w:rsidRPr="00473B32" w:rsidRDefault="00DF10C1" w:rsidP="00DF10C1">
      <w:pPr>
        <w:pStyle w:val="a3"/>
        <w:spacing w:before="0" w:beforeAutospacing="0" w:after="0" w:afterAutospacing="0"/>
        <w:ind w:firstLine="567"/>
        <w:jc w:val="both"/>
        <w:rPr>
          <w:b/>
          <w:bCs/>
          <w:sz w:val="25"/>
          <w:szCs w:val="25"/>
        </w:rPr>
      </w:pPr>
    </w:p>
    <w:p w:rsidR="00B46CA4" w:rsidRPr="00DF10C1" w:rsidRDefault="00B46CA4">
      <w:pPr>
        <w:rPr>
          <w:lang/>
        </w:rPr>
      </w:pPr>
    </w:p>
    <w:sectPr w:rsidR="00B46CA4" w:rsidRPr="00DF10C1"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DF10C1"/>
    <w:rsid w:val="001F0F38"/>
    <w:rsid w:val="00B46CA4"/>
    <w:rsid w:val="00DF1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веб) Знак,Знак4 Знак,Обычный (веб) Знак1,Знак4 Знак Знак, Знак4, Знак4 Знак, Знак4 Знак Знак"/>
    <w:basedOn w:val="a"/>
    <w:link w:val="2"/>
    <w:uiPriority w:val="99"/>
    <w:unhideWhenUsed/>
    <w:rsid w:val="00DF10C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2">
    <w:name w:val="Обычный (веб) Знак2"/>
    <w:aliases w:val="Знак4 Знак1,Обычный (веб) Знак Знак,Знак4 Знак Знак1,Обычный (веб) Знак1 Знак,Знак4 Знак Знак Знак, Знак4 Знак1, Знак4 Знак Знак1, Знак4 Знак Знак Знак"/>
    <w:link w:val="a3"/>
    <w:uiPriority w:val="99"/>
    <w:locked/>
    <w:rsid w:val="00DF10C1"/>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Company>Microsoft</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2019-12-03T09:09:00Z</dcterms:created>
  <dcterms:modified xsi:type="dcterms:W3CDTF">2019-12-03T09:10:00Z</dcterms:modified>
</cp:coreProperties>
</file>